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5.png" ContentType="image/png"/>
  <Override PartName="/word/media/rId41.png" ContentType="image/png"/>
  <Override PartName="/word/media/rId28.png" ContentType="image/png"/>
  <Override PartName="/word/media/rId42.png" ContentType="image/png"/>
  <Override PartName="/word/media/rId47.png" ContentType="image/png"/>
  <Override PartName="/word/media/rId27.png" ContentType="image/png"/>
  <Override PartName="/word/media/rId3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t xml:space="preserve">Introduction</w:t>
      </w:r>
    </w:p>
    <w:bookmarkStart w:id="23"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21704"/>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321704"/>
                    </a:xfrm>
                    <a:prstGeom prst="rect">
                      <a:avLst/>
                    </a:prstGeom>
                    <a:noFill/>
                    <a:ln w="9525">
                      <a:noFill/>
                      <a:headEnd/>
                      <a:tailEnd/>
                    </a:ln>
                  </pic:spPr>
                </pic:pic>
              </a:graphicData>
            </a:graphic>
          </wp:inline>
        </w:drawing>
      </w:r>
    </w:p>
    <w:bookmarkEnd w:id="29"/>
    <w:bookmarkEnd w:id="30"/>
    <w:bookmarkStart w:id="40" w:name="materials-and-methods"/>
    <w:p>
      <w:pPr>
        <w:pStyle w:val="Heading1"/>
      </w:pPr>
      <w:r>
        <w:t xml:space="preserve">Materials and Methods</w:t>
      </w:r>
    </w:p>
    <w:bookmarkStart w:id="31"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7" w:name="data-preparation"/>
    <w:p>
      <w:pPr>
        <w:pStyle w:val="Heading2"/>
      </w:pPr>
      <w:r>
        <w:t xml:space="preserve">Data preparation</w:t>
      </w:r>
    </w:p>
    <w:bookmarkStart w:id="33" w:name="dendrometer-bands"/>
    <w:p>
      <w:pPr>
        <w:pStyle w:val="Heading3"/>
      </w:pP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p>
    <w:p>
      <w:pPr>
        <w:pStyle w:val="BodyText"/>
      </w:pPr>
      <w:r>
        <w:drawing>
          <wp:inline>
            <wp:extent cx="5334000" cy="2856313"/>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32"/>
                    <a:stretch>
                      <a:fillRect/>
                    </a:stretch>
                  </pic:blipFill>
                  <pic:spPr bwMode="auto">
                    <a:xfrm>
                      <a:off x="0" y="0"/>
                      <a:ext cx="5334000" cy="2856313"/>
                    </a:xfrm>
                    <a:prstGeom prst="rect">
                      <a:avLst/>
                    </a:prstGeom>
                    <a:noFill/>
                    <a:ln w="9525">
                      <a:noFill/>
                      <a:headEnd/>
                      <a:tailEnd/>
                    </a:ln>
                  </pic:spPr>
                </pic:pic>
              </a:graphicData>
            </a:graphic>
          </wp:inline>
        </w:drawing>
      </w:r>
    </w:p>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The dendroband data were manually cleaned by visual inspection before analysis.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w:t>
      </w:r>
    </w:p>
    <w:p>
      <w:pPr>
        <w:pStyle w:val="BodyText"/>
      </w:pPr>
      <m:oMathPara>
        <m:oMathParaPr>
          <m:jc m:val="center"/>
        </m:oMathParaPr>
        <m:oMath>
          <m:r>
            <m:t>L</m:t>
          </m:r>
          <m:r>
            <m:t>+</m:t>
          </m:r>
          <m:r>
            <m:t>(</m:t>
          </m:r>
          <m:r>
            <m:t>(</m:t>
          </m:r>
          <m:r>
            <m:t>K</m:t>
          </m:r>
          <m:r>
            <m:t>−</m:t>
          </m:r>
          <m:r>
            <m:t>L</m:t>
          </m:r>
          <m:r>
            <m:t>)</m:t>
          </m:r>
          <m:r>
            <m:t>/</m:t>
          </m:r>
          <m:r>
            <m:t>(</m:t>
          </m:r>
          <m:r>
            <m:t>1</m:t>
          </m:r>
          <m:r>
            <m:t>+</m:t>
          </m:r>
          <m:r>
            <m:t>1</m:t>
          </m:r>
          <m:r>
            <m:t>/</m:t>
          </m:r>
          <m:r>
            <m:t>θ</m:t>
          </m:r>
          <m:r>
            <m:t>*</m:t>
          </m:r>
          <m:r>
            <m:t>e</m:t>
          </m:r>
          <m:r>
            <m:t>x</m:t>
          </m:r>
          <m:r>
            <m:t>p</m:t>
          </m:r>
          <m:r>
            <m:t>(</m:t>
          </m:r>
          <m:r>
            <m:t>−</m:t>
          </m:r>
          <m:r>
            <m:t>(</m:t>
          </m:r>
          <m:r>
            <m:t>r</m:t>
          </m:r>
          <m:r>
            <m:t>*</m:t>
          </m:r>
          <m:r>
            <m:t>(</m:t>
          </m:r>
          <m:r>
            <m:t>d</m:t>
          </m:r>
          <m:r>
            <m:t>o</m:t>
          </m:r>
          <m:r>
            <m:t>y</m:t>
          </m:r>
          <m:r>
            <m:t>−</m:t>
          </m:r>
          <m:r>
            <m:t>d</m:t>
          </m:r>
          <m:r>
            <m:t>o</m:t>
          </m:r>
          <m:sSub>
            <m:e>
              <m:r>
                <m:t>y</m:t>
              </m:r>
            </m:e>
            <m:sub>
              <m:r>
                <m:t>i</m:t>
              </m:r>
              <m:r>
                <m:t>p</m:t>
              </m:r>
            </m:sub>
          </m:sSub>
          <m:r>
            <m:t>)</m:t>
          </m:r>
          <m:r>
            <m:t>/</m:t>
          </m:r>
          <m:r>
            <m:t>θ</m:t>
          </m:r>
          <m:r>
            <m:t>)</m:t>
          </m:r>
          <m:sSup>
            <m:e>
              <m:r>
                <m:t>)</m:t>
              </m:r>
            </m:e>
            <m:sup>
              <m:r>
                <m:t>θ</m:t>
              </m:r>
            </m:sup>
          </m:sSup>
          <m:r>
            <m:t>)</m:t>
          </m:r>
          <m:r>
            <m:t>)</m:t>
          </m:r>
        </m:oMath>
      </m:oMathPara>
    </w:p>
    <w:p>
      <w:pPr>
        <w:pStyle w:val="FirstParagraph"/>
      </w:pPr>
      <w:r>
        <w:rPr>
          <w:b/>
        </w:rPr>
        <w:t xml:space="preserve">(Cameron, please check formatting. It should be possible to write this more clearly with latex formatting. )</w:t>
      </w:r>
      <w:r>
        <w:t xml:space="preserve"> </w:t>
      </w: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theta is a tuning parameter controlling the slope of the curve toward the upper asymptote,</w:t>
      </w:r>
      <w:r>
        <w:t xml:space="preserve"> </w:t>
      </w:r>
      <m:oMath>
        <m:r>
          <m:t>r</m:t>
        </m:r>
      </m:oMath>
      <w:r>
        <w:t xml:space="preserve"> </w:t>
      </w:r>
      <w:r>
        <w:t xml:space="preserve">is the slope of the curve at the inflection point,</w:t>
      </w:r>
      <w:r>
        <w:t xml:space="preserve"> </w:t>
      </w:r>
      <m:oMath>
        <m:r>
          <m:t>d</m:t>
        </m:r>
        <m:r>
          <m:t>o</m:t>
        </m:r>
        <m:sSub>
          <m:e>
            <m:r>
              <m:t>y</m:t>
            </m:r>
          </m:e>
          <m:sub>
            <m:r>
              <m:t>i</m:t>
            </m:r>
            <m:r>
              <m:t>p</m:t>
            </m:r>
          </m:sub>
        </m:sSub>
      </m:oMath>
      <w:r>
        <w:t xml:space="preserve"> </w:t>
      </w:r>
      <w:r>
        <w:t xml:space="preserve">is the day of year where the inflection point occurs, and</w:t>
      </w:r>
      <w:r>
        <w:t xml:space="preserve"> </w:t>
      </w:r>
      <m:oMath>
        <m:r>
          <m:t>d</m:t>
        </m:r>
        <m:r>
          <m:t>o</m:t>
        </m:r>
        <m:r>
          <m:t>y</m:t>
        </m:r>
      </m:oMath>
      <w:r>
        <w:t xml:space="preserve"> </w:t>
      </w:r>
      <w:r>
        <w:t xml:space="preserve">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3"/>
    <w:bookmarkStart w:id="34"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were collected as described in</w:t>
      </w:r>
      <w:r>
        <w:t xml:space="preserve"> </w:t>
      </w:r>
      <w:r>
        <w:t xml:space="preserve">(</w:t>
      </w:r>
      <w:r>
        <w:rPr>
          <w:b/>
        </w:rPr>
        <w:t xml:space="preserve">???</w:t>
      </w:r>
      <w:r>
        <w:t xml:space="preserve">)</w:t>
      </w:r>
      <w:r>
        <w:t xml:space="preserve">.</w:t>
      </w:r>
      <w:r>
        <w:t xml:space="preserve"> </w:t>
      </w:r>
      <w:r>
        <w:t xml:space="preserve">Briefly, … (</w:t>
      </w:r>
      <w:r>
        <w:rPr>
          <w:i/>
        </w:rPr>
        <w:t xml:space="preserve">summarize / reword from Helcoski</w:t>
      </w:r>
      <w:r>
        <w:t xml:space="preserve">).</w:t>
      </w:r>
      <w:r>
        <w:t xml:space="preserve"> </w:t>
      </w:r>
      <w:r>
        <w:t xml:space="preserve">In total, we analyzed # cores representing eleven of the twelve species contributing most to aboveground woody productivity within the SCBI ForestGEO plot.</w:t>
      </w:r>
      <w:r>
        <w:t xml:space="preserve"> </w:t>
      </w:r>
      <w:r>
        <w:t xml:space="preserve">At Harvard Forest, …(</w:t>
      </w:r>
      <w:r>
        <w:rPr>
          <w:i/>
        </w:rPr>
        <w:t xml:space="preserve">Neil can write this easily, or KAT probably has the info</w:t>
      </w:r>
      <w:r>
        <w:t xml:space="preserve">)</w:t>
      </w:r>
      <w:r>
        <w:t xml:space="preserve"> </w:t>
      </w:r>
      <w:r>
        <w:t xml:space="preserve">In total, we analyzed # cores from three species.</w:t>
      </w:r>
    </w:p>
    <w:p>
      <w:pPr>
        <w:pStyle w:val="BodyText"/>
      </w:pPr>
      <w:r>
        <w:t xml:space="preserve">All cores were mounted, sanded, cross-dated, and measured using standard methodology.</w:t>
      </w:r>
      <w:r>
        <w:t xml:space="preserve"> </w:t>
      </w:r>
      <w:r>
        <w:t xml:space="preserve">(</w:t>
      </w:r>
      <w:r>
        <w:rPr>
          <w:i/>
        </w:rPr>
        <w:t xml:space="preserve">describe chronology building– as in</w:t>
      </w:r>
      <w:r>
        <w:rPr>
          <w:i/>
        </w:rPr>
        <w:t xml:space="preserve"> </w:t>
      </w:r>
      <w:r>
        <w:rPr>
          <w:i/>
        </w:rPr>
        <w:t xml:space="preserve">(</w:t>
      </w:r>
      <w:r>
        <w:rPr>
          <w:b/>
          <w:i/>
        </w:rPr>
        <w:t xml:space="preserve">???</w:t>
      </w:r>
      <w:r>
        <w:rPr>
          <w:i/>
        </w:rPr>
        <w:t xml:space="preserve">)</w:t>
      </w:r>
      <w:r>
        <w:rPr>
          <w:i/>
        </w:rPr>
        <w:t xml:space="preserve">– Neil can do this quickly</w:t>
      </w:r>
      <w:r>
        <w:t xml:space="preserve">)</w:t>
      </w:r>
      <w:r>
        <w:t xml:space="preserve"> </w:t>
      </w:r>
      <w:r>
        <w:t xml:space="preserve">Start year was defined at SSS=0.8.</w:t>
      </w:r>
    </w:p>
    <w:bookmarkEnd w:id="34"/>
    <w:bookmarkStart w:id="36" w:name="climate"/>
    <w:p>
      <w:pPr>
        <w:pStyle w:val="Heading3"/>
      </w:pP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5">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6"/>
    <w:bookmarkEnd w:id="37"/>
    <w:bookmarkStart w:id="38" w:name="climwin"/>
    <w:p>
      <w:pPr>
        <w:pStyle w:val="Heading2"/>
      </w:pP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8"/>
    <w:bookmarkStart w:id="39" w:name="hypothesis-testing"/>
    <w:p>
      <w:pPr>
        <w:pStyle w:val="Heading2"/>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9"/>
    <w:bookmarkEnd w:id="40"/>
    <w:bookmarkStart w:id="52" w:name="results"/>
    <w:p>
      <w:pPr>
        <w:pStyle w:val="Heading1"/>
      </w:pPr>
      <w:r>
        <w:t xml:space="preserve">Results</w:t>
      </w:r>
    </w:p>
    <w:bookmarkStart w:id="43" w:name="phenological-patterns"/>
    <w:p>
      <w:pPr>
        <w:pStyle w:val="Heading2"/>
      </w:pP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p>
      <w:pPr>
        <w:pStyle w:val="BodyText"/>
      </w:pPr>
      <w:r>
        <w:drawing>
          <wp:inline>
            <wp:extent cx="5334000" cy="2407615"/>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42"/>
                    <a:stretch>
                      <a:fillRect/>
                    </a:stretch>
                  </pic:blipFill>
                  <pic:spPr bwMode="auto">
                    <a:xfrm>
                      <a:off x="0" y="0"/>
                      <a:ext cx="5334000" cy="2407615"/>
                    </a:xfrm>
                    <a:prstGeom prst="rect">
                      <a:avLst/>
                    </a:prstGeom>
                    <a:noFill/>
                    <a:ln w="9525">
                      <a:noFill/>
                      <a:headEnd/>
                      <a:tailEnd/>
                    </a:ln>
                  </pic:spPr>
                </pic:pic>
              </a:graphicData>
            </a:graphic>
          </wp:inline>
        </w:drawing>
      </w:r>
    </w:p>
    <w:bookmarkEnd w:id="43"/>
    <w:bookmarkStart w:id="46" w:name="optimal-climate-windows"/>
    <w:p>
      <w:pPr>
        <w:pStyle w:val="Heading2"/>
      </w:pP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4">
        <w:r>
          <w:rPr>
            <w:rStyle w:val="Hyperlink"/>
            <w:b/>
          </w:rPr>
          <w:t xml:space="preserve">issue 34</w:t>
        </w:r>
      </w:hyperlink>
      <w:r>
        <w:t xml:space="preserve"> </w:t>
      </w:r>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5"/>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6"/>
    <w:bookmarkStart w:id="49" w:name="climate-sensitivity-of-phenology"/>
    <w:p>
      <w:pPr>
        <w:pStyle w:val="Heading2"/>
      </w:pP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7"/>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9"/>
    <w:bookmarkStart w:id="51"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5334000" cy="2805683"/>
            <wp:effectExtent b="0" l="0" r="0" t="0"/>
            <wp:docPr descr="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 title="" id="1" name="Picture"/>
            <a:graphic>
              <a:graphicData uri="http://schemas.openxmlformats.org/drawingml/2006/picture">
                <pic:pic>
                  <pic:nvPicPr>
                    <pic:cNvPr descr="tables_figures/tree_cores_tmax.png" id="0" name="Picture"/>
                    <pic:cNvPicPr>
                      <a:picLocks noChangeArrowheads="1" noChangeAspect="1"/>
                    </pic:cNvPicPr>
                  </pic:nvPicPr>
                  <pic:blipFill>
                    <a:blip r:embed="rId50"/>
                    <a:stretch>
                      <a:fillRect/>
                    </a:stretch>
                  </pic:blipFill>
                  <pic:spPr bwMode="auto">
                    <a:xfrm>
                      <a:off x="0" y="0"/>
                      <a:ext cx="5334000" cy="2805683"/>
                    </a:xfrm>
                    <a:prstGeom prst="rect">
                      <a:avLst/>
                    </a:prstGeom>
                    <a:noFill/>
                    <a:ln w="9525">
                      <a:noFill/>
                      <a:headEnd/>
                      <a:tailEnd/>
                    </a:ln>
                  </pic:spPr>
                </pic:pic>
              </a:graphicData>
            </a:graphic>
          </wp:inline>
        </w:drawing>
      </w:r>
    </w:p>
    <w:p>
      <w:pPr>
        <w:pStyle w:val="ImageCaption"/>
      </w:pPr>
      <w:r>
        <w:t xml:space="preserve">Figure 6. Climate sensitiivity of annual growth, as derived from tree-rings, for dominant ring- and diffuse- porous species at the Smithonian Conservation Biology Institute and Harvard Forest. Shown are Pearson correlations between ring-width index and and monthly Tmax. Species codes are as given in Table 2.</w:t>
      </w:r>
    </w:p>
    <w:bookmarkEnd w:id="51"/>
    <w:bookmarkEnd w:id="52"/>
    <w:bookmarkStart w:id="58" w:name="discussion"/>
    <w:p>
      <w:pPr>
        <w:pStyle w:val="Heading1"/>
      </w:pPr>
      <w:r>
        <w:t xml:space="preserve">Discussion</w:t>
      </w:r>
    </w:p>
    <w:bookmarkStart w:id="53" w:name="summary-of-key-findings-gap-filled"/>
    <w:p>
      <w:pPr>
        <w:pStyle w:val="Heading2"/>
      </w:pP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3"/>
    <w:bookmarkStart w:id="54" w:name="X93b42c048bc577ce135d06310ac5b340ae43e18"/>
    <w:p>
      <w:pPr>
        <w:pStyle w:val="Heading2"/>
      </w:pPr>
      <w:r>
        <w:t xml:space="preserve">(</w:t>
      </w:r>
      <w:r>
        <w:t xml:space="preserve">“</w:t>
      </w:r>
      <w:r>
        <w:t xml:space="preserve">limitation in filling gap, how to interpret/fix</w:t>
      </w:r>
      <w:r>
        <w:t xml:space="preserve">”</w:t>
      </w:r>
      <w:r>
        <w:t xml:space="preserve">)</w:t>
      </w:r>
    </w:p>
    <w:p>
      <w:pPr>
        <w:pStyle w:val="FirstParagraph"/>
      </w:pPr>
      <w:r>
        <w:t xml:space="preserve">Although the number of years analyzed here is limited (# years at SCBI, # years at HF), the signal is clear and consistent: for both species groups at both sites, warmer temperatures during virtually any part of the spring led to significantly earlier achievement of growth milestones (</w:t>
      </w:r>
      <w:r>
        <w:rPr>
          <w:i/>
        </w:rPr>
        <w:t xml:space="preserve">CITE RELEVANT FIGS &amp; TABLES</w:t>
      </w:r>
      <w:r>
        <w:t xml:space="preserve"> </w:t>
      </w:r>
      <w:r>
        <w:t xml:space="preserve">).</w:t>
      </w:r>
      <w:r>
        <w:t xml:space="preserve"> </w:t>
      </w:r>
      <w:r>
        <w:t xml:space="preserve">This indicates that this is not a subtle effect.</w:t>
      </w:r>
      <w:r>
        <w:t xml:space="preserve"> </w:t>
      </w:r>
      <w:r>
        <w:t xml:space="preserve">However, the effect on L_PGS, r_max, and</w:t>
      </w:r>
      <w:r>
        <w:t xml:space="preserve"> </w:t>
      </w:r>
      <m:oMath>
        <m:r>
          <m:t>Δ</m:t>
        </m:r>
        <m:r>
          <m:t>D</m:t>
        </m:r>
        <m:r>
          <m:t>B</m:t>
        </m:r>
        <m:r>
          <m:t>H</m:t>
        </m:r>
      </m:oMath>
      <w:r>
        <w:t xml:space="preserve">, if any, is subtle, and a much longer record would be needed to detect such effects.</w:t>
      </w:r>
      <w:r>
        <w:t xml:space="preserve"> </w:t>
      </w:r>
      <w:r>
        <w:t xml:space="preserve">Fortunately, we were able to get at annual growth using tree-ring data (Fig. 6).</w:t>
      </w:r>
      <w:r>
        <w:t xml:space="preserve"> </w:t>
      </w:r>
      <w:r>
        <w:t xml:space="preserve">These confirm that the effect of spring temperatures on annual growth is modest and generally not significant, while revealing a slightly more complex picture.</w:t>
      </w:r>
      <w:r>
        <w:t xml:space="preserve"> </w:t>
      </w:r>
      <w:r>
        <w:t xml:space="preserve">Although spring temperatures prior to May rarely had a significant influence on …</w:t>
      </w:r>
    </w:p>
    <w:bookmarkEnd w:id="54"/>
    <w:bookmarkStart w:id="55" w:name="X3913dd1f0cc8c2cd9cf0312a8ab5914858b525e"/>
    <w:p>
      <w:pPr>
        <w:pStyle w:val="Heading2"/>
      </w:pPr>
      <w:r>
        <w:t xml:space="preserve">(</w:t>
      </w:r>
      <w:r>
        <w:t xml:space="preserve">“</w:t>
      </w:r>
      <w:r>
        <w:t xml:space="preserve">limitation in generalization, how to interpret/fix</w:t>
      </w:r>
      <w:r>
        <w:t xml:space="preserve">”</w:t>
      </w:r>
      <w:r>
        <w:t xml:space="preserve">)</w:t>
      </w:r>
    </w:p>
    <w:p>
      <w:pPr>
        <w:pStyle w:val="FirstParagraph"/>
      </w:pPr>
      <w:r>
        <w:t xml:space="preserve">THe tree-rings also reveal that the strongest temperature sensitivity aligned with peak growing season.</w:t>
      </w:r>
      <w:r>
        <w:t xml:space="preserve"> </w:t>
      </w:r>
      <w:r>
        <w:t xml:space="preserve">This pattern is common across tree-ring studies in temperate deciduous forests.</w:t>
      </w:r>
      <w:r>
        <w:t xml:space="preserve"> </w:t>
      </w:r>
      <w:r>
        <w:t xml:space="preserve">(</w:t>
      </w:r>
      <w:r>
        <w:rPr>
          <w:i/>
        </w:rPr>
        <w:t xml:space="preserve">1-2 sentences generalizing about climate sensitivity of temperate deciduous forest growth–Neil can do this most easily.</w:t>
      </w:r>
      <w:r>
        <w:t xml:space="preserve">)</w:t>
      </w:r>
      <w:r>
        <w:t xml:space="preserve"> </w:t>
      </w:r>
      <w:r>
        <w:t xml:space="preserve">Thus, while our analysis is limited to two sites, we expect that the finding that spring temperatures have limited effect on annual tree growth will hold generally.</w:t>
      </w:r>
    </w:p>
    <w:bookmarkEnd w:id="55"/>
    <w:bookmarkStart w:id="56" w:name="contributions-beyond"/>
    <w:p>
      <w:pPr>
        <w:pStyle w:val="Heading2"/>
      </w:pPr>
      <w:r>
        <w:t xml:space="preserve">(</w:t>
      </w:r>
      <w:r>
        <w:t xml:space="preserve">“</w:t>
      </w:r>
      <w:r>
        <w:t xml:space="preserve">contributions beyond</w:t>
      </w:r>
      <w:r>
        <w:t xml:space="preserve">”</w:t>
      </w:r>
      <w:r>
        <w:t xml:space="preserve">)</w:t>
      </w:r>
    </w:p>
    <w:p>
      <w:pPr>
        <w:pStyle w:val="FirstParagraph"/>
      </w:pPr>
      <w:r>
        <w:t xml:space="preserve">Our findings contribute to a broader picture of the influence of spring temperatures on forest ecosystem function.</w:t>
      </w:r>
      <w:r>
        <w:t xml:space="preserve"> </w:t>
      </w:r>
      <w:r>
        <w:t xml:space="preserve">Warm spring temperatures result in earlier leaf-out (REFS), an earlier start to net C sequestration (REFS), and–as shown here–earlier initiation of stem growth (</w:t>
      </w:r>
      <w:r>
        <w:rPr>
          <w:i/>
        </w:rPr>
        <w:t xml:space="preserve">CITE RELEVANT FIGS &amp; TABLES</w:t>
      </w:r>
      <w:r>
        <w:t xml:space="preserve"> </w:t>
      </w:r>
      <w:r>
        <w:t xml:space="preserve">).</w:t>
      </w:r>
      <w:r>
        <w:t xml:space="preserve"> </w:t>
      </w:r>
      <w:r>
        <w:t xml:space="preserve">Yet, an earlier start to the growing season does not imply a longer growing season</w:t>
      </w:r>
      <w:r>
        <w:t xml:space="preserve"> </w:t>
      </w:r>
      <w:r>
        <w:t xml:space="preserve">(Table 1, Figs 4, 5;</w:t>
      </w:r>
      <w:r>
        <w:t xml:space="preserve"> </w:t>
      </w:r>
      <w:r>
        <w:rPr>
          <w:b/>
        </w:rPr>
        <w:t xml:space="preserve">???</w:t>
      </w:r>
      <w:r>
        <w:t xml:space="preserve">)</w:t>
      </w:r>
      <w:r>
        <w:t xml:space="preserve">.</w:t>
      </w:r>
      <w:r>
        <w:t xml:space="preserve"> </w:t>
      </w:r>
      <w:r>
        <w:t xml:space="preserve">Rather, growth finishes sooner– presumably because of</w:t>
      </w:r>
      <w:r>
        <w:t xml:space="preserve"> </w:t>
      </w:r>
      <w:r>
        <w:rPr>
          <w:i/>
        </w:rPr>
        <w:t xml:space="preserve">C sink limitation</w:t>
      </w:r>
      <w:r>
        <w:t xml:space="preserve"> </w:t>
      </w:r>
      <w:r>
        <w:t xml:space="preserve">(</w:t>
      </w:r>
      <w:r>
        <w:rPr>
          <w:b/>
        </w:rPr>
        <w:t xml:space="preserve">???</w:t>
      </w:r>
      <w:r>
        <w:t xml:space="preserve">)</w:t>
      </w:r>
      <w:r>
        <w:t xml:space="preserve">.</w:t>
      </w:r>
      <w:r>
        <w:t xml:space="preserve"> </w:t>
      </w:r>
      <w:r>
        <w:t xml:space="preserve">If sink limitation controls the end of woody growing season,</w:t>
      </w:r>
    </w:p>
    <w:bookmarkEnd w:id="56"/>
    <w:bookmarkStart w:id="57" w:name="science-is-better-now"/>
    <w:p>
      <w:pPr>
        <w:pStyle w:val="Heading2"/>
      </w:pPr>
      <w:r>
        <w:t xml:space="preserve">(</w:t>
      </w:r>
      <w:r>
        <w:t xml:space="preserve">“</w:t>
      </w:r>
      <w:r>
        <w:t xml:space="preserve">science is better now</w:t>
      </w:r>
      <w:r>
        <w:t xml:space="preserve">”</w:t>
      </w:r>
      <w:r>
        <w:t xml:space="preserve">)</w:t>
      </w:r>
    </w:p>
    <w:p>
      <w:pPr>
        <w:pStyle w:val="FirstParagraph"/>
      </w:pPr>
      <w:r>
        <w:t xml:space="preserve">As climate change accelerates and spring temperatures become increasingly warmer, growing seasons will start earlier, but this is unlikely to provide the increased carbon sequestration that is anticipated in most models</w:t>
      </w:r>
      <w:r>
        <w:t xml:space="preserve"> </w:t>
      </w:r>
      <w:r>
        <w:t xml:space="preserve">(Table 1; Figs. 4, 6;</w:t>
      </w:r>
      <w:r>
        <w:t xml:space="preserve"> </w:t>
      </w:r>
      <w:r>
        <w:rPr>
          <w:b/>
        </w:rPr>
        <w:t xml:space="preserve">???</w:t>
      </w:r>
      <w:r>
        <w:t xml:space="preserve">)</w:t>
      </w:r>
      <w:r>
        <w:t xml:space="preserve">.</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p>
      <w:pPr>
        <w:pStyle w:val="BodyText"/>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7"/>
    <w:bookmarkEnd w:id="58"/>
    <w:bookmarkStart w:id="59" w:name="content-to-incorporate"/>
    <w:p>
      <w:pPr>
        <w:pStyle w:val="Heading1"/>
      </w:pP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9"/>
    <w:bookmarkStart w:id="60" w:name="acknowledgements"/>
    <w:p>
      <w:pPr>
        <w:pStyle w:val="Heading1"/>
      </w:pPr>
      <w:r>
        <w:t xml:space="preserve">Acknowledgements</w:t>
      </w:r>
    </w:p>
    <w:p>
      <w:pPr>
        <w:pStyle w:val="FirstParagraph"/>
      </w:pPr>
      <w:r>
        <w:t xml:space="preserve">people: (everyone who helped collect data), Jess Shue (data)</w:t>
      </w:r>
      <w:r>
        <w:t xml:space="preserve"> </w:t>
      </w:r>
      <w:r>
        <w:t xml:space="preserve">Funding: ForestGEO</w:t>
      </w:r>
    </w:p>
    <w:bookmarkEnd w:id="60"/>
    <w:bookmarkStart w:id="61" w:name="author-contributions"/>
    <w:p>
      <w:pPr>
        <w:pStyle w:val="Heading1"/>
      </w:pPr>
      <w:r>
        <w:t xml:space="preserve">Author Contributions</w:t>
      </w:r>
    </w:p>
    <w:bookmarkEnd w:id="61"/>
    <w:bookmarkStart w:id="62" w:name="supporting-information"/>
    <w:p>
      <w:pPr>
        <w:pStyle w:val="Heading1"/>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2"/>
    <w:bookmarkStart w:id="81" w:name="references"/>
    <w:p>
      <w:pPr>
        <w:pStyle w:val="Heading1"/>
      </w:pPr>
      <w:r>
        <w:t xml:space="preserve">References</w:t>
      </w:r>
    </w:p>
    <w:bookmarkStart w:id="80" w:name="refs"/>
    <w:bookmarkStart w:id="63"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3"/>
    <w:bookmarkStart w:id="65"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4">
        <w:r>
          <w:rPr>
            <w:rStyle w:val="Hyperlink"/>
          </w:rPr>
          <w:t xml:space="preserve">https://doi.org/10.1111/j.1365-2486.2005.001012.x</w:t>
        </w:r>
      </w:hyperlink>
    </w:p>
    <w:bookmarkEnd w:id="65"/>
    <w:bookmarkStart w:id="67"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6">
        <w:r>
          <w:rPr>
            <w:rStyle w:val="Hyperlink"/>
          </w:rPr>
          <w:t xml:space="preserve">https://doi.org/10.1175/JCLI3800.1</w:t>
        </w:r>
      </w:hyperlink>
    </w:p>
    <w:bookmarkEnd w:id="67"/>
    <w:bookmarkStart w:id="69"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8">
        <w:r>
          <w:rPr>
            <w:rStyle w:val="Hyperlink"/>
          </w:rPr>
          <w:t xml:space="preserve">https://doi.org/10.1111/gcb.14731</w:t>
        </w:r>
      </w:hyperlink>
    </w:p>
    <w:bookmarkEnd w:id="69"/>
    <w:bookmarkStart w:id="71"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70">
        <w:r>
          <w:rPr>
            <w:rStyle w:val="Hyperlink"/>
          </w:rPr>
          <w:t xml:space="preserve">https://doi.org/10.1038/nclimate2253</w:t>
        </w:r>
      </w:hyperlink>
    </w:p>
    <w:bookmarkEnd w:id="71"/>
    <w:bookmarkStart w:id="73"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2">
        <w:r>
          <w:rPr>
            <w:rStyle w:val="Hyperlink"/>
          </w:rPr>
          <w:t xml:space="preserve">https://doi.org/10.1002/ece3.1117</w:t>
        </w:r>
      </w:hyperlink>
    </w:p>
    <w:bookmarkEnd w:id="73"/>
    <w:bookmarkStart w:id="75"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4">
        <w:r>
          <w:rPr>
            <w:rStyle w:val="Hyperlink"/>
          </w:rPr>
          <w:t xml:space="preserve">https://doi.org/10.1007/s13595-020-01008-1</w:t>
        </w:r>
      </w:hyperlink>
    </w:p>
    <w:bookmarkEnd w:id="75"/>
    <w:bookmarkStart w:id="77"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6">
        <w:r>
          <w:rPr>
            <w:rStyle w:val="Hyperlink"/>
          </w:rPr>
          <w:t xml:space="preserve">https://doi.org/10.1016/j.catena.2020.104936</w:t>
        </w:r>
      </w:hyperlink>
    </w:p>
    <w:bookmarkEnd w:id="77"/>
    <w:bookmarkStart w:id="79"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8">
        <w:r>
          <w:rPr>
            <w:rStyle w:val="Hyperlink"/>
          </w:rPr>
          <w:t xml:space="preserve">https://doi.org/10.1016/j.agrformet.2016.06.010</w:t>
        </w:r>
      </w:hyperlink>
    </w:p>
    <w:bookmarkEnd w:id="79"/>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50" Target="media/rId50.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2" Target="https://doi.org/10.1002/ece3.1117" TargetMode="External" /><Relationship Type="http://schemas.openxmlformats.org/officeDocument/2006/relationships/hyperlink" Id="rId74" Target="https://doi.org/10.1007/s13595-020-01008-1" TargetMode="External" /><Relationship Type="http://schemas.openxmlformats.org/officeDocument/2006/relationships/hyperlink" Id="rId78" Target="https://doi.org/10.1016/j.agrformet.2016.06.010" TargetMode="External" /><Relationship Type="http://schemas.openxmlformats.org/officeDocument/2006/relationships/hyperlink" Id="rId76" Target="https://doi.org/10.1016/j.catena.2020.104936" TargetMode="External" /><Relationship Type="http://schemas.openxmlformats.org/officeDocument/2006/relationships/hyperlink" Id="rId70" Target="https://doi.org/10.1038/nclimate2253" TargetMode="External" /><Relationship Type="http://schemas.openxmlformats.org/officeDocument/2006/relationships/hyperlink" Id="rId68" Target="https://doi.org/10.1111/gcb.14731" TargetMode="External" /><Relationship Type="http://schemas.openxmlformats.org/officeDocument/2006/relationships/hyperlink" Id="rId64" Target="https://doi.org/10.1111/j.1365-2486.2005.001012.x" TargetMode="External" /><Relationship Type="http://schemas.openxmlformats.org/officeDocument/2006/relationships/hyperlink" Id="rId66" Target="https://doi.org/10.1175/JCLI3800.1" TargetMode="External" /><Relationship Type="http://schemas.openxmlformats.org/officeDocument/2006/relationships/hyperlink" Id="rId44"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2" Target="https://doi.org/10.1002/ece3.1117" TargetMode="External" /><Relationship Type="http://schemas.openxmlformats.org/officeDocument/2006/relationships/hyperlink" Id="rId74" Target="https://doi.org/10.1007/s13595-020-01008-1" TargetMode="External" /><Relationship Type="http://schemas.openxmlformats.org/officeDocument/2006/relationships/hyperlink" Id="rId78" Target="https://doi.org/10.1016/j.agrformet.2016.06.010" TargetMode="External" /><Relationship Type="http://schemas.openxmlformats.org/officeDocument/2006/relationships/hyperlink" Id="rId76" Target="https://doi.org/10.1016/j.catena.2020.104936" TargetMode="External" /><Relationship Type="http://schemas.openxmlformats.org/officeDocument/2006/relationships/hyperlink" Id="rId70" Target="https://doi.org/10.1038/nclimate2253" TargetMode="External" /><Relationship Type="http://schemas.openxmlformats.org/officeDocument/2006/relationships/hyperlink" Id="rId68" Target="https://doi.org/10.1111/gcb.14731" TargetMode="External" /><Relationship Type="http://schemas.openxmlformats.org/officeDocument/2006/relationships/hyperlink" Id="rId64" Target="https://doi.org/10.1111/j.1365-2486.2005.001012.x" TargetMode="External" /><Relationship Type="http://schemas.openxmlformats.org/officeDocument/2006/relationships/hyperlink" Id="rId66" Target="https://doi.org/10.1175/JCLI3800.1" TargetMode="External" /><Relationship Type="http://schemas.openxmlformats.org/officeDocument/2006/relationships/hyperlink" Id="rId44" Target="https://github.com/EcoClimLab/growth_phenology/issues/34" TargetMode="External" /><Relationship Type="http://schemas.openxmlformats.org/officeDocument/2006/relationships/hyperlink" Id="rId35"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2020-12-04T16:59:36Z</dcterms:created>
  <dcterms:modified xsi:type="dcterms:W3CDTF">2020-12-04T16:59:36Z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word_document</vt:lpwstr>
  </property>
</Properties>
</file>